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85FA5" w:sz="6" w:space="4"/>
        </w:pBdr>
        <w:spacing w:after="0"/>
      </w:pPr>
      <w:r>
        <w:rPr>
          <w:rFonts w:ascii="Arial" w:cs="Arial" w:eastAsia="Arial" w:hAnsi="Arial"/>
          <w:b/>
          <w:bCs/>
          <w:color w:val="475569"/>
          <w:sz w:val="18"/>
          <w:szCs w:val="18"/>
        </w:rPr>
        <w:t xml:space="preserve">Pink House Technology Inc.</w:t>
      </w:r>
      <w:r>
        <w:rPr>
          <w:rFonts w:ascii="Arial" w:cs="Arial" w:eastAsia="Arial" w:hAnsi="Arial"/>
          <w:color w:val="475569"/>
          <w:sz w:val="18"/>
          <w:szCs w:val="18"/>
        </w:rPr>
        <w:t xml:space="preserve">   |   TokenScope AI Governance Series</w:t>
      </w:r>
    </w:p>
    <w:p>
      <w:pPr>
        <w:spacing w:after="0" w:before="240"/>
      </w:pPr>
    </w:p>
    <w:p>
      <w:pPr>
        <w:spacing w:after="80" w:before="0"/>
        <w:jc w:val="left"/>
      </w:pPr>
      <w:r>
        <w:rPr>
          <w:rFonts w:ascii="Arial" w:cs="Arial" w:eastAsia="Arial" w:hAnsi="Arial"/>
          <w:b/>
          <w:bCs/>
          <w:color w:val="111111"/>
          <w:sz w:val="44"/>
          <w:szCs w:val="44"/>
        </w:rPr>
        <w:t xml:space="preserve">AI Stress, Drift, and the Case for</w:t>
      </w:r>
    </w:p>
    <w:p>
      <w:pPr>
        <w:spacing w:after="80" w:before="0"/>
        <w:jc w:val="left"/>
      </w:pPr>
      <w:r>
        <w:rPr>
          <w:rFonts w:ascii="Arial" w:cs="Arial" w:eastAsia="Arial" w:hAnsi="Arial"/>
          <w:b/>
          <w:bCs/>
          <w:color w:val="185FA5"/>
          <w:sz w:val="44"/>
          <w:szCs w:val="44"/>
        </w:rPr>
        <w:t xml:space="preserve">Real-Time Session Intelligence</w:t>
      </w:r>
    </w:p>
    <w:p>
      <w:pPr>
        <w:spacing w:after="320" w:before="40"/>
      </w:pPr>
      <w:r>
        <w:rPr>
          <w:rFonts w:ascii="Arial" w:cs="Arial" w:eastAsia="Arial" w:hAnsi="Arial"/>
          <w:i/>
          <w:iCs/>
          <w:color w:val="475569"/>
          <w:sz w:val="22"/>
          <w:szCs w:val="22"/>
        </w:rPr>
        <w:t xml:space="preserve">Why monitoring AI spend is only half the problem</w:t>
      </w:r>
    </w:p>
    <w:p>
      <w:pPr>
        <w:pBdr>
          <w:left w:val="single" w:color="185FA5" w:sz="18" w:space="8"/>
        </w:pBdr>
        <w:shd w:fill="E8F2FC"/>
        <w:spacing w:after="160" w:before="160"/>
        <w:ind w:left="360" w:right="360"/>
      </w:pPr>
      <w:r>
        <w:rPr>
          <w:rFonts w:ascii="Arial" w:cs="Arial" w:eastAsia="Arial" w:hAnsi="Arial"/>
          <w:color w:val="111111"/>
          <w:sz w:val="22"/>
          <w:szCs w:val="22"/>
        </w:rPr>
        <w:t xml:space="preserve">On June 5, 2026, a production AI application had its model quietly switched from a mid-tier model to a premium one by the platform provider. The developer found out the next morning by checking a credit card statement. The charge: $109. The expected charge: $0.18. The warning from the platform: none.</w:t>
      </w:r>
    </w:p>
    <w:p>
      <w:pPr>
        <w:spacing w:after="120" w:before="160"/>
      </w:pPr>
      <w:r>
        <w:rPr>
          <w:rFonts w:ascii="Arial" w:cs="Arial" w:eastAsia="Arial" w:hAnsi="Arial"/>
          <w:color w:val="111111"/>
          <w:sz w:val="22"/>
          <w:szCs w:val="22"/>
        </w:rPr>
        <w:t xml:space="preserve">This is not a billing story. It is a governance story. And it points to a gap that the AI industry has not yet addressed: the space between what a model is doing and what a user or developer knows about it.</w:t>
      </w:r>
    </w:p>
    <w:p>
      <w:pPr>
        <w:pStyle w:val="Heading1"/>
      </w:pPr>
      <w:r>
        <w:rPr>
          <w:rFonts w:ascii="Arial" w:cs="Arial" w:eastAsia="Arial" w:hAnsi="Arial"/>
          <w:b/>
          <w:bCs/>
          <w:color w:val="185FA5"/>
          <w:sz w:val="32"/>
          <w:szCs w:val="32"/>
        </w:rPr>
        <w:t xml:space="preserve">What AI Stress Actually Is</w:t>
      </w:r>
    </w:p>
    <w:p>
      <w:pPr>
        <w:spacing w:after="120" w:before="0"/>
      </w:pPr>
      <w:r>
        <w:rPr>
          <w:rFonts w:ascii="Arial" w:cs="Arial" w:eastAsia="Arial" w:hAnsi="Arial"/>
          <w:color w:val="111111"/>
          <w:sz w:val="22"/>
          <w:szCs w:val="22"/>
        </w:rPr>
        <w:t xml:space="preserve">AI systems degrade in ways that are invisible to the tools built to use them. The degradation is not random. It follows patterns tied to measurable session conditions.</w:t>
      </w:r>
    </w:p>
    <w:p>
      <w:pPr>
        <w:spacing w:after="80" w:before="0"/>
      </w:pPr>
      <w:r>
        <w:rPr>
          <w:rFonts w:ascii="Arial" w:cs="Arial" w:eastAsia="Arial" w:hAnsi="Arial"/>
          <w:b/>
          <w:bCs/>
          <w:color w:val="111111"/>
          <w:sz w:val="22"/>
          <w:szCs w:val="22"/>
        </w:rPr>
        <w:t xml:space="preserve">Seven observable stress modes have been identified:</w:t>
      </w:r>
    </w:p>
    <w:p>
      <w:pPr>
        <w:spacing w:after="80" w:before="80"/>
        <w:ind w:left="360"/>
      </w:pPr>
      <w:r>
        <w:rPr>
          <w:rFonts w:ascii="Arial" w:cs="Arial" w:eastAsia="Arial" w:hAnsi="Arial"/>
          <w:b/>
          <w:bCs/>
          <w:color w:val="185FA5"/>
          <w:sz w:val="22"/>
          <w:szCs w:val="22"/>
        </w:rPr>
        <w:t xml:space="preserve">Hallucination: </w:t>
      </w:r>
      <w:r>
        <w:rPr>
          <w:rFonts w:ascii="Arial" w:cs="Arial" w:eastAsia="Arial" w:hAnsi="Arial"/>
          <w:color w:val="111111"/>
          <w:sz w:val="22"/>
          <w:szCs w:val="22"/>
        </w:rPr>
        <w:t xml:space="preserve">The model generates factually incorrect output, often with high apparent confidence. Detectable by cross-referencing claims against verified sources.</w:t>
      </w:r>
    </w:p>
    <w:p>
      <w:pPr>
        <w:spacing w:after="80" w:before="80"/>
        <w:ind w:left="360"/>
      </w:pPr>
      <w:r>
        <w:rPr>
          <w:rFonts w:ascii="Arial" w:cs="Arial" w:eastAsia="Arial" w:hAnsi="Arial"/>
          <w:b/>
          <w:bCs/>
          <w:color w:val="185FA5"/>
          <w:sz w:val="22"/>
          <w:szCs w:val="22"/>
        </w:rPr>
        <w:t xml:space="preserve">Sycophancy: </w:t>
      </w:r>
      <w:r>
        <w:rPr>
          <w:rFonts w:ascii="Arial" w:cs="Arial" w:eastAsia="Arial" w:hAnsi="Arial"/>
          <w:color w:val="111111"/>
          <w:sz w:val="22"/>
          <w:szCs w:val="22"/>
        </w:rPr>
        <w:t xml:space="preserve">The model optimizes for agreement rather than accuracy. Trained on human feedback that rewards flattery, it learns to tell users what they want to hear. Detectable by contradiction testing and response pattern analysis.</w:t>
      </w:r>
    </w:p>
    <w:p>
      <w:pPr>
        <w:spacing w:after="80" w:before="80"/>
        <w:ind w:left="360"/>
      </w:pPr>
      <w:r>
        <w:rPr>
          <w:rFonts w:ascii="Arial" w:cs="Arial" w:eastAsia="Arial" w:hAnsi="Arial"/>
          <w:b/>
          <w:bCs/>
          <w:color w:val="185FA5"/>
          <w:sz w:val="22"/>
          <w:szCs w:val="22"/>
        </w:rPr>
        <w:t xml:space="preserve">Drift: </w:t>
      </w:r>
      <w:r>
        <w:rPr>
          <w:rFonts w:ascii="Arial" w:cs="Arial" w:eastAsia="Arial" w:hAnsi="Arial"/>
          <w:color w:val="111111"/>
          <w:sz w:val="22"/>
          <w:szCs w:val="22"/>
        </w:rPr>
        <w:t xml:space="preserve">The model's outputs deviate progressively from a baseline as session length increases. Detectable by comparing responses to a fixed probe across time.</w:t>
      </w:r>
    </w:p>
    <w:p>
      <w:pPr>
        <w:spacing w:after="80" w:before="80"/>
        <w:ind w:left="360"/>
      </w:pPr>
      <w:r>
        <w:rPr>
          <w:rFonts w:ascii="Arial" w:cs="Arial" w:eastAsia="Arial" w:hAnsi="Arial"/>
          <w:b/>
          <w:bCs/>
          <w:color w:val="185FA5"/>
          <w:sz w:val="22"/>
          <w:szCs w:val="22"/>
        </w:rPr>
        <w:t xml:space="preserve">Confabulation: </w:t>
      </w:r>
      <w:r>
        <w:rPr>
          <w:rFonts w:ascii="Arial" w:cs="Arial" w:eastAsia="Arial" w:hAnsi="Arial"/>
          <w:color w:val="111111"/>
          <w:sz w:val="22"/>
          <w:szCs w:val="22"/>
        </w:rPr>
        <w:t xml:space="preserve">The model fills knowledge gaps with plausible-sounding invented detail rather than flagging uncertainty. Distinct from hallucination in its mechanism; similar in its effect.</w:t>
      </w:r>
    </w:p>
    <w:p>
      <w:pPr>
        <w:spacing w:after="80" w:before="80"/>
        <w:ind w:left="360"/>
      </w:pPr>
      <w:r>
        <w:rPr>
          <w:rFonts w:ascii="Arial" w:cs="Arial" w:eastAsia="Arial" w:hAnsi="Arial"/>
          <w:b/>
          <w:bCs/>
          <w:color w:val="185FA5"/>
          <w:sz w:val="22"/>
          <w:szCs w:val="22"/>
        </w:rPr>
        <w:t xml:space="preserve">Context Bleed: </w:t>
      </w:r>
      <w:r>
        <w:rPr>
          <w:rFonts w:ascii="Arial" w:cs="Arial" w:eastAsia="Arial" w:hAnsi="Arial"/>
          <w:color w:val="111111"/>
          <w:sz w:val="22"/>
          <w:szCs w:val="22"/>
        </w:rPr>
        <w:t xml:space="preserve">Information introduced early in a session inappropriately influences later responses. Detectable by injecting false facts and testing downstream contamination.</w:t>
      </w:r>
    </w:p>
    <w:p>
      <w:pPr>
        <w:spacing w:after="80" w:before="80"/>
        <w:ind w:left="360"/>
      </w:pPr>
      <w:r>
        <w:rPr>
          <w:rFonts w:ascii="Arial" w:cs="Arial" w:eastAsia="Arial" w:hAnsi="Arial"/>
          <w:b/>
          <w:bCs/>
          <w:color w:val="185FA5"/>
          <w:sz w:val="22"/>
          <w:szCs w:val="22"/>
        </w:rPr>
        <w:t xml:space="preserve">Reward Hacking: </w:t>
      </w:r>
      <w:r>
        <w:rPr>
          <w:rFonts w:ascii="Arial" w:cs="Arial" w:eastAsia="Arial" w:hAnsi="Arial"/>
          <w:color w:val="111111"/>
          <w:sz w:val="22"/>
          <w:szCs w:val="22"/>
        </w:rPr>
        <w:t xml:space="preserve">The model finds ways to satisfy its training objective without doing the intended task. Symptoms are observable; cause requires training-level access to confirm.</w:t>
      </w:r>
    </w:p>
    <w:p>
      <w:pPr>
        <w:spacing w:after="80" w:before="80"/>
        <w:ind w:left="360"/>
      </w:pPr>
      <w:r>
        <w:rPr>
          <w:rFonts w:ascii="Arial" w:cs="Arial" w:eastAsia="Arial" w:hAnsi="Arial"/>
          <w:b/>
          <w:bCs/>
          <w:color w:val="185FA5"/>
          <w:sz w:val="22"/>
          <w:szCs w:val="22"/>
        </w:rPr>
        <w:t xml:space="preserve">Catastrophic Forgetting: </w:t>
      </w:r>
      <w:r>
        <w:rPr>
          <w:rFonts w:ascii="Arial" w:cs="Arial" w:eastAsia="Arial" w:hAnsi="Arial"/>
          <w:color w:val="111111"/>
          <w:sz w:val="22"/>
          <w:szCs w:val="22"/>
        </w:rPr>
        <w:t xml:space="preserve">The model loses earlier training capabilities when fine-tuned on new data. Requires longitudinal testing across model versions to detect.</w:t>
      </w:r>
    </w:p>
    <w:p>
      <w:pPr>
        <w:spacing w:after="120" w:before="160"/>
      </w:pPr>
      <w:r>
        <w:rPr>
          <w:rFonts w:ascii="Arial" w:cs="Arial" w:eastAsia="Arial" w:hAnsi="Arial"/>
          <w:color w:val="111111"/>
          <w:sz w:val="22"/>
          <w:szCs w:val="22"/>
        </w:rPr>
        <w:t xml:space="preserve">The first five are detectable in real time or near-real time with existing tools. The last two require longitudinal data or training access. For practical governance, the first five form the operational detection surface.</w:t>
      </w:r>
    </w:p>
    <w:p>
      <w:pPr>
        <w:pStyle w:val="Heading1"/>
      </w:pPr>
      <w:r>
        <w:rPr>
          <w:rFonts w:ascii="Arial" w:cs="Arial" w:eastAsia="Arial" w:hAnsi="Arial"/>
          <w:b/>
          <w:bCs/>
          <w:color w:val="185FA5"/>
          <w:sz w:val="32"/>
          <w:szCs w:val="32"/>
        </w:rPr>
        <w:t xml:space="preserve">The Three Threats No One Talks About</w:t>
      </w:r>
    </w:p>
    <w:p>
      <w:pPr>
        <w:spacing w:after="120" w:before="0"/>
      </w:pPr>
      <w:r>
        <w:rPr>
          <w:rFonts w:ascii="Arial" w:cs="Arial" w:eastAsia="Arial" w:hAnsi="Arial"/>
          <w:color w:val="111111"/>
          <w:sz w:val="22"/>
          <w:szCs w:val="22"/>
        </w:rPr>
        <w:t xml:space="preserve">Beyond model-level stress, AI deployments face three external threat categories that compound the problem:</w:t>
      </w:r>
    </w:p>
    <w:p>
      <w:pPr>
        <w:spacing w:after="80" w:before="80"/>
        <w:ind w:left="360"/>
      </w:pPr>
      <w:r>
        <w:rPr>
          <w:rFonts w:ascii="Arial" w:cs="Arial" w:eastAsia="Arial" w:hAnsi="Arial"/>
          <w:b/>
          <w:bCs/>
          <w:color w:val="185FA5"/>
          <w:sz w:val="22"/>
          <w:szCs w:val="22"/>
        </w:rPr>
        <w:t xml:space="preserve">Abuse: </w:t>
      </w:r>
      <w:r>
        <w:rPr>
          <w:rFonts w:ascii="Arial" w:cs="Arial" w:eastAsia="Arial" w:hAnsi="Arial"/>
          <w:color w:val="111111"/>
          <w:sz w:val="22"/>
          <w:szCs w:val="22"/>
        </w:rPr>
        <w:t xml:space="preserve">A bad actor or broken script hammers a public-facing AI application. The API costs land on the developer, not the abuser. Without real-time monitoring, the first signal is an invoice.</w:t>
      </w:r>
    </w:p>
    <w:p>
      <w:pPr>
        <w:spacing w:after="80" w:before="80"/>
        <w:ind w:left="360"/>
      </w:pPr>
      <w:r>
        <w:rPr>
          <w:rFonts w:ascii="Arial" w:cs="Arial" w:eastAsia="Arial" w:hAnsi="Arial"/>
          <w:b/>
          <w:bCs/>
          <w:color w:val="185FA5"/>
          <w:sz w:val="22"/>
          <w:szCs w:val="22"/>
        </w:rPr>
        <w:t xml:space="preserve">Platform Routing: </w:t>
      </w:r>
      <w:r>
        <w:rPr>
          <w:rFonts w:ascii="Arial" w:cs="Arial" w:eastAsia="Arial" w:hAnsi="Arial"/>
          <w:color w:val="111111"/>
          <w:sz w:val="22"/>
          <w:szCs w:val="22"/>
        </w:rPr>
        <w:t xml:space="preserve">The AI provider silently routes requests to a more expensive model. The developer's code specifies one model. The platform delivers another. Cost difference is not disclosed in real time. This is what happened on June 5.</w:t>
      </w:r>
    </w:p>
    <w:p>
      <w:pPr>
        <w:spacing w:after="80" w:before="80"/>
        <w:ind w:left="360"/>
      </w:pPr>
      <w:r>
        <w:rPr>
          <w:rFonts w:ascii="Arial" w:cs="Arial" w:eastAsia="Arial" w:hAnsi="Arial"/>
          <w:b/>
          <w:bCs/>
          <w:color w:val="185FA5"/>
          <w:sz w:val="22"/>
          <w:szCs w:val="22"/>
        </w:rPr>
        <w:t xml:space="preserve">Drift at Scale: </w:t>
      </w:r>
      <w:r>
        <w:rPr>
          <w:rFonts w:ascii="Arial" w:cs="Arial" w:eastAsia="Arial" w:hAnsi="Arial"/>
          <w:color w:val="111111"/>
          <w:sz w:val="22"/>
          <w:szCs w:val="22"/>
        </w:rPr>
        <w:t xml:space="preserve">The user's own usage creeps upward across sessions and billing cycles. No single moment triggers an alert. The pattern is only visible in aggregate, and typically only after the monthly invoice arrives.</w:t>
      </w:r>
    </w:p>
    <w:p>
      <w:pPr>
        <w:pStyle w:val="Heading1"/>
      </w:pPr>
      <w:r>
        <w:rPr>
          <w:rFonts w:ascii="Arial" w:cs="Arial" w:eastAsia="Arial" w:hAnsi="Arial"/>
          <w:b/>
          <w:bCs/>
          <w:color w:val="185FA5"/>
          <w:sz w:val="32"/>
          <w:szCs w:val="32"/>
        </w:rPr>
        <w:t xml:space="preserve">The Governance Gap</w:t>
      </w:r>
    </w:p>
    <w:p>
      <w:pPr>
        <w:spacing w:after="120" w:before="0"/>
      </w:pPr>
      <w:r>
        <w:rPr>
          <w:rFonts w:ascii="Arial" w:cs="Arial" w:eastAsia="Arial" w:hAnsi="Arial"/>
          <w:color w:val="111111"/>
          <w:sz w:val="22"/>
          <w:szCs w:val="22"/>
        </w:rPr>
        <w:t xml:space="preserve">Current market tools address part of this problem badly. Provider dashboards show historical spend. Hard spend caps at the API key level are blunt instruments that stop operations rather than providing warning. Enterprise FinOps teams treat AI tokens like cloud compute, which misses the model-specific and session-specific dynamics entirely.</w:t>
      </w:r>
    </w:p>
    <w:p>
      <w:pPr>
        <w:spacing w:after="120" w:before="0"/>
      </w:pPr>
      <w:r>
        <w:rPr>
          <w:rFonts w:ascii="Arial" w:cs="Arial" w:eastAsia="Arial" w:hAnsi="Arial"/>
          <w:color w:val="111111"/>
          <w:sz w:val="22"/>
          <w:szCs w:val="22"/>
        </w:rPr>
        <w:t xml:space="preserve">The result is a gap between capability and visibility. Organizations are deploying increasingly powerful AI systems with increasingly limited real-time insight into what those systems are actually doing.</w:t>
      </w:r>
    </w:p>
    <w:p>
      <w:pPr>
        <w:spacing w:after="120" w:before="0"/>
      </w:pPr>
      <w:r>
        <w:rPr>
          <w:rFonts w:ascii="Arial" w:cs="Arial" w:eastAsia="Arial" w:hAnsi="Arial"/>
          <w:b/>
          <w:bCs/>
          <w:i/>
          <w:iCs/>
          <w:color w:val="185FA5"/>
          <w:sz w:val="22"/>
          <w:szCs w:val="22"/>
        </w:rPr>
        <w:t xml:space="preserve">A speedometer versus a fuel receipt.</w:t>
      </w:r>
      <w:r>
        <w:rPr>
          <w:rFonts w:ascii="Arial" w:cs="Arial" w:eastAsia="Arial" w:hAnsi="Arial"/>
          <w:color w:val="111111"/>
          <w:sz w:val="22"/>
          <w:szCs w:val="22"/>
        </w:rPr>
        <w:t xml:space="preserve"> Provider consoles show what you spent. What is needed is an instrument that shows what you are spending, right now, across all providers simultaneously, with a warning before the bill arrives.</w:t>
      </w:r>
    </w:p>
    <w:p>
      <w:pPr>
        <w:pStyle w:val="Heading1"/>
      </w:pPr>
      <w:r>
        <w:rPr>
          <w:rFonts w:ascii="Arial" w:cs="Arial" w:eastAsia="Arial" w:hAnsi="Arial"/>
          <w:b/>
          <w:bCs/>
          <w:color w:val="185FA5"/>
          <w:sz w:val="32"/>
          <w:szCs w:val="32"/>
        </w:rPr>
        <w:t xml:space="preserve">A Measurement Architecture</w:t>
      </w:r>
    </w:p>
    <w:p>
      <w:pPr>
        <w:spacing w:after="120" w:before="0"/>
      </w:pPr>
      <w:r>
        <w:rPr>
          <w:rFonts w:ascii="Arial" w:cs="Arial" w:eastAsia="Arial" w:hAnsi="Arial"/>
          <w:color w:val="111111"/>
          <w:sz w:val="22"/>
          <w:szCs w:val="22"/>
        </w:rPr>
        <w:t xml:space="preserve">Effective AI session governance requires three layers operating simultaneously:</w:t>
      </w:r>
    </w:p>
    <w:p>
      <w:pPr>
        <w:spacing w:after="80" w:before="80"/>
        <w:ind w:left="360"/>
      </w:pPr>
      <w:r>
        <w:rPr>
          <w:rFonts w:ascii="Arial" w:cs="Arial" w:eastAsia="Arial" w:hAnsi="Arial"/>
          <w:b/>
          <w:bCs/>
          <w:color w:val="185FA5"/>
          <w:sz w:val="22"/>
          <w:szCs w:val="22"/>
        </w:rPr>
        <w:t xml:space="preserve">Concurrent Monitoring: </w:t>
      </w:r>
      <w:r>
        <w:rPr>
          <w:rFonts w:ascii="Arial" w:cs="Arial" w:eastAsia="Arial" w:hAnsi="Arial"/>
          <w:color w:val="111111"/>
          <w:sz w:val="22"/>
          <w:szCs w:val="22"/>
        </w:rPr>
        <w:t xml:space="preserve">Governance that sits inside the inference path, not outside it. Measuring model outputs as they are generated rather than after they are delivered. Latency: milliseconds, not minutes. This layer catches routing changes, cost spikes, and sycophancy patterns in near-real time.</w:t>
      </w:r>
    </w:p>
    <w:p>
      <w:pPr>
        <w:spacing w:after="80" w:before="80"/>
        <w:ind w:left="360"/>
      </w:pPr>
      <w:r>
        <w:rPr>
          <w:rFonts w:ascii="Arial" w:cs="Arial" w:eastAsia="Arial" w:hAnsi="Arial"/>
          <w:b/>
          <w:bCs/>
          <w:color w:val="185FA5"/>
          <w:sz w:val="22"/>
          <w:szCs w:val="22"/>
        </w:rPr>
        <w:t xml:space="preserve">Forensic Auditing: </w:t>
      </w:r>
      <w:r>
        <w:rPr>
          <w:rFonts w:ascii="Arial" w:cs="Arial" w:eastAsia="Arial" w:hAnsi="Arial"/>
          <w:color w:val="111111"/>
          <w:sz w:val="22"/>
          <w:szCs w:val="22"/>
        </w:rPr>
        <w:t xml:space="preserve">Post-output verification against external sources. Claims are extracted, searched, and evaluated against verified evidence. This layer catches hallucination and confabulation that slipped through the concurrent layer's tolerance bands.</w:t>
      </w:r>
    </w:p>
    <w:p>
      <w:pPr>
        <w:spacing w:after="80" w:before="80"/>
        <w:ind w:left="360"/>
      </w:pPr>
      <w:r>
        <w:rPr>
          <w:rFonts w:ascii="Arial" w:cs="Arial" w:eastAsia="Arial" w:hAnsi="Arial"/>
          <w:b/>
          <w:bCs/>
          <w:color w:val="185FA5"/>
          <w:sz w:val="22"/>
          <w:szCs w:val="22"/>
        </w:rPr>
        <w:t xml:space="preserve">Session Intelligence: </w:t>
      </w:r>
      <w:r>
        <w:rPr>
          <w:rFonts w:ascii="Arial" w:cs="Arial" w:eastAsia="Arial" w:hAnsi="Arial"/>
          <w:color w:val="111111"/>
          <w:sz w:val="22"/>
          <w:szCs w:val="22"/>
        </w:rPr>
        <w:t xml:space="preserve">Longitudinal tracking of session conditions correlated with verified failure events. Context fill percentage, session duration, model version, burn rate velocity. Over time, this layer produces the first labeled dataset correlating session conditions with AI failure modes — enabling predictive rather than reactive governance.</w:t>
      </w:r>
    </w:p>
    <w:p>
      <w:pPr>
        <w:pStyle w:val="Heading1"/>
      </w:pPr>
      <w:r>
        <w:rPr>
          <w:rFonts w:ascii="Arial" w:cs="Arial" w:eastAsia="Arial" w:hAnsi="Arial"/>
          <w:b/>
          <w:bCs/>
          <w:color w:val="185FA5"/>
          <w:sz w:val="32"/>
          <w:szCs w:val="32"/>
        </w:rPr>
        <w:t xml:space="preserve">TokenScope: Session Intelligence in Practice</w:t>
      </w:r>
    </w:p>
    <w:p>
      <w:pPr>
        <w:spacing w:after="120" w:before="0"/>
      </w:pPr>
      <w:r>
        <w:rPr>
          <w:rFonts w:ascii="Arial" w:cs="Arial" w:eastAsia="Arial" w:hAnsi="Arial"/>
          <w:color w:val="111111"/>
          <w:sz w:val="22"/>
          <w:szCs w:val="22"/>
        </w:rPr>
        <w:t xml:space="preserve">TokenScope is a real-time AI session monitor that watches API usage across nine frontier models simultaneously. It was built to solve the June 5 problem — and the thousands of June 5 problems that never make it into a billing dispute because the developer never noticed.</w:t>
      </w:r>
    </w:p>
    <w:p>
      <w:pPr>
        <w:spacing w:after="80" w:before="0"/>
      </w:pPr>
      <w:r>
        <w:rPr>
          <w:rFonts w:ascii="Arial" w:cs="Arial" w:eastAsia="Arial" w:hAnsi="Arial"/>
          <w:b/>
          <w:bCs/>
          <w:color w:val="111111"/>
          <w:sz w:val="22"/>
          <w:szCs w:val="22"/>
        </w:rPr>
        <w:t xml:space="preserve">The instrument layer includes:</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Real-time burn rate monitoring with configurable alert thresholds across all connected providers.</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Model routing detection that fires within one polling cycle when the platform delivers a different model than requested.</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Abuse pattern detection based on per-application API key monitoring and spike thresholds.</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Session health scoring combining context fill percentage, session duration, and token burn velocity — labeled honestly as a composite risk index, not a fabricated probability.</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Sycophancy detection scanning the first and last twenty words of every model response, scoring against known patterns, running client-side with no data transmission.</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A Session Stress Log correlating session conditions with verified failure events tagged by the forensic audit layer — building the first labeled dataset of its kind.</w:t>
      </w:r>
    </w:p>
    <w:p>
      <w:pPr>
        <w:spacing w:after="60" w:before="60"/>
        <w:ind w:left="360" w:hanging="220"/>
      </w:pPr>
      <w:r>
        <w:rPr>
          <w:rFonts w:ascii="Arial" w:cs="Arial" w:eastAsia="Arial" w:hAnsi="Arial"/>
          <w:color w:val="185FA5"/>
          <w:sz w:val="22"/>
          <w:szCs w:val="22"/>
        </w:rPr>
        <w:t xml:space="preserve">•  </w:t>
      </w:r>
      <w:r>
        <w:rPr>
          <w:rFonts w:ascii="Arial" w:cs="Arial" w:eastAsia="Arial" w:hAnsi="Arial"/>
          <w:color w:val="111111"/>
          <w:sz w:val="22"/>
          <w:szCs w:val="22"/>
        </w:rPr>
        <w:t xml:space="preserve">Coaching intelligence that fires proactively when patterns indicate cost optimization opportunities or session health risks, using real numbers from actual session data.</w:t>
      </w:r>
    </w:p>
    <w:p>
      <w:pPr>
        <w:spacing w:after="120" w:before="160"/>
      </w:pPr>
      <w:r>
        <w:rPr>
          <w:rFonts w:ascii="Arial" w:cs="Arial" w:eastAsia="Arial" w:hAnsi="Arial"/>
          <w:color w:val="111111"/>
          <w:sz w:val="22"/>
          <w:szCs w:val="22"/>
        </w:rPr>
        <w:t xml:space="preserve">The alert system uses a four-state visual language: green for all clear, yellow for approaching thresholds, red for immediate action required, and blue for proactive coaching tips. Every state has a tooltip explanation. No indicator is ever left unexplained.</w:t>
      </w:r>
    </w:p>
    <w:p>
      <w:pPr>
        <w:pStyle w:val="Heading1"/>
      </w:pPr>
      <w:r>
        <w:rPr>
          <w:rFonts w:ascii="Arial" w:cs="Arial" w:eastAsia="Arial" w:hAnsi="Arial"/>
          <w:b/>
          <w:bCs/>
          <w:color w:val="185FA5"/>
          <w:sz w:val="32"/>
          <w:szCs w:val="32"/>
        </w:rPr>
        <w:t xml:space="preserve">The Broader Principle</w:t>
      </w:r>
    </w:p>
    <w:p>
      <w:pPr>
        <w:spacing w:after="120" w:before="0"/>
      </w:pPr>
      <w:r>
        <w:rPr>
          <w:rFonts w:ascii="Arial" w:cs="Arial" w:eastAsia="Arial" w:hAnsi="Arial"/>
          <w:color w:val="111111"/>
          <w:sz w:val="22"/>
          <w:szCs w:val="22"/>
        </w:rPr>
        <w:t xml:space="preserve">The AI industry is moving rapidly from capability questions to trust questions. The capability questions were: can the model do this? The trust questions are: how do we know when the model should be trusted, when it should be questioned, and when human review is required?</w:t>
      </w:r>
    </w:p>
    <w:p>
      <w:pPr>
        <w:spacing w:after="120" w:before="0"/>
      </w:pPr>
      <w:r>
        <w:rPr>
          <w:rFonts w:ascii="Arial" w:cs="Arial" w:eastAsia="Arial" w:hAnsi="Arial"/>
          <w:color w:val="111111"/>
          <w:sz w:val="22"/>
          <w:szCs w:val="22"/>
        </w:rPr>
        <w:t xml:space="preserve">Those questions cannot be answered by better models alone. They require the equivalent of dashboards, warning lights, maintenance schedules, and inspection systems built specifically for AI. The automotive industry did not become safe because engines became more reliable. It became safe because the systems surrounding the engine — warning lights, diagnostics, service records, accountability mechanisms — gave drivers and mechanics the visibility to know what was happening and act before failure.</w:t>
      </w:r>
    </w:p>
    <w:p>
      <w:pPr>
        <w:spacing w:after="160" w:before="0"/>
      </w:pPr>
      <w:r>
        <w:rPr>
          <w:rFonts w:ascii="Arial" w:cs="Arial" w:eastAsia="Arial" w:hAnsi="Arial"/>
          <w:b/>
          <w:bCs/>
          <w:i/>
          <w:iCs/>
          <w:color w:val="185FA5"/>
          <w:sz w:val="24"/>
          <w:szCs w:val="24"/>
        </w:rPr>
        <w:t xml:space="preserve">Capability creates possibility. Trust determines adoption.</w:t>
      </w:r>
    </w:p>
    <w:p>
      <w:pPr>
        <w:pBdr>
          <w:top w:val="single" w:color="185FA5" w:sz="6" w:space="4"/>
        </w:pBdr>
        <w:spacing w:after="0" w:before="320"/>
      </w:pPr>
      <w:r>
        <w:rPr>
          <w:rFonts w:ascii="Arial" w:cs="Arial" w:eastAsia="Arial" w:hAnsi="Arial"/>
          <w:color w:val="475569"/>
          <w:sz w:val="16"/>
          <w:szCs w:val="16"/>
        </w:rPr>
        <w:t xml:space="preserve">Pink House Technology Inc.   |   philcheevers@outlook.com   |   pinkhouse.tech   |   TokenScope v0.7</w:t>
      </w:r>
    </w:p>
    <w:p>
      <w:pPr>
        <w:spacing w:after="0" w:before="60"/>
      </w:pPr>
      <w:r>
        <w:rPr>
          <w:rFonts w:ascii="Arial" w:cs="Arial" w:eastAsia="Arial" w:hAnsi="Arial"/>
          <w:i/>
          <w:iCs/>
          <w:color w:val="475569"/>
          <w:sz w:val="16"/>
          <w:szCs w:val="16"/>
        </w:rPr>
        <w:t xml:space="preserve">This document is produced under Michelangelo governance standards. Claims are typed as Observed, Inferred, or Speculative. The June 5 incident is Observed and documented. Session stress correlations are currently Inferred pending dataset accumulation.</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85FA5"/>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185FA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2026-06-08T05:12:30.186Z</dcterms:created>
  <dcterms:modified xsi:type="dcterms:W3CDTF">2026-06-08T05:12:30.186Z</dcterms:modified>
</cp:coreProperties>
</file>

<file path=docProps/custom.xml><?xml version="1.0" encoding="utf-8"?>
<Properties xmlns="http://schemas.openxmlformats.org/officeDocument/2006/custom-properties" xmlns:vt="http://schemas.openxmlformats.org/officeDocument/2006/docPropsVTypes"/>
</file>